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15F3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3730F680" w14:textId="4311A1EB" w:rsidR="00EB1C5A" w:rsidRDefault="00EB1C5A" w:rsidP="004321DB">
      <w:pPr>
        <w:pStyle w:val="F2-zkladn"/>
        <w:tabs>
          <w:tab w:val="right" w:pos="9070"/>
        </w:tabs>
      </w:pPr>
      <w:r>
        <w:tab/>
      </w:r>
      <w:r w:rsidR="7C25CE9C">
        <w:t xml:space="preserve"> </w:t>
      </w:r>
      <w:r w:rsidR="00BE16A9">
        <w:t xml:space="preserve">Praha, </w:t>
      </w:r>
      <w:r w:rsidR="009D56D4">
        <w:t>1</w:t>
      </w:r>
      <w:r w:rsidR="00A06C5C">
        <w:t>7</w:t>
      </w:r>
      <w:r w:rsidR="00BE16A9" w:rsidRPr="001665B3">
        <w:t>.</w:t>
      </w:r>
      <w:r w:rsidR="00BE16A9">
        <w:t xml:space="preserve"> </w:t>
      </w:r>
      <w:r w:rsidR="00FF47A3">
        <w:t>července</w:t>
      </w:r>
      <w:r w:rsidR="625BE913">
        <w:t xml:space="preserve"> </w:t>
      </w:r>
      <w:r w:rsidR="00BE16A9">
        <w:t>202</w:t>
      </w:r>
      <w:r w:rsidR="00C012A6">
        <w:t>5</w:t>
      </w:r>
    </w:p>
    <w:p w14:paraId="1D4672CB" w14:textId="77777777" w:rsidR="007A39B8" w:rsidRDefault="007A39B8" w:rsidP="007A39B8">
      <w:pPr>
        <w:tabs>
          <w:tab w:val="right" w:pos="9070"/>
        </w:tabs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A50E59" w14:textId="77777777" w:rsidR="005E16B6" w:rsidRDefault="005E16B6" w:rsidP="007A39B8">
      <w:pPr>
        <w:tabs>
          <w:tab w:val="right" w:pos="9070"/>
        </w:tabs>
        <w:spacing w:after="0" w:line="264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1FEA1B0" w14:textId="1F3F5304" w:rsidR="005E16B6" w:rsidRDefault="005E16B6" w:rsidP="007A39B8">
      <w:pPr>
        <w:tabs>
          <w:tab w:val="right" w:pos="9070"/>
        </w:tabs>
        <w:spacing w:after="0" w:line="264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574DCD63">
        <w:rPr>
          <w:rFonts w:ascii="Arial" w:hAnsi="Arial" w:cs="Arial"/>
          <w:b/>
          <w:bCs/>
          <w:sz w:val="26"/>
          <w:szCs w:val="26"/>
        </w:rPr>
        <w:t>Analýza TPA: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9D26BA">
        <w:rPr>
          <w:rFonts w:ascii="Arial" w:hAnsi="Arial" w:cs="Arial"/>
          <w:b/>
          <w:bCs/>
          <w:sz w:val="26"/>
          <w:szCs w:val="26"/>
        </w:rPr>
        <w:t xml:space="preserve">Počet i objem transakcí </w:t>
      </w:r>
      <w:r w:rsidR="00D05BA1" w:rsidRPr="00D05BA1">
        <w:rPr>
          <w:rFonts w:ascii="Arial" w:hAnsi="Arial" w:cs="Arial"/>
          <w:b/>
          <w:bCs/>
          <w:sz w:val="26"/>
          <w:szCs w:val="26"/>
        </w:rPr>
        <w:t>na M&amp;A trhu</w:t>
      </w:r>
      <w:r w:rsidR="00D05BA1">
        <w:rPr>
          <w:rFonts w:ascii="Arial" w:hAnsi="Arial" w:cs="Arial"/>
          <w:b/>
          <w:bCs/>
          <w:sz w:val="26"/>
          <w:szCs w:val="26"/>
        </w:rPr>
        <w:t xml:space="preserve"> </w:t>
      </w:r>
      <w:r w:rsidR="009D26BA">
        <w:rPr>
          <w:rFonts w:ascii="Arial" w:hAnsi="Arial" w:cs="Arial"/>
          <w:b/>
          <w:bCs/>
          <w:sz w:val="26"/>
          <w:szCs w:val="26"/>
        </w:rPr>
        <w:t>v České republice</w:t>
      </w:r>
      <w:r w:rsidR="00D05BA1">
        <w:rPr>
          <w:rFonts w:ascii="Arial" w:hAnsi="Arial" w:cs="Arial"/>
          <w:b/>
          <w:bCs/>
          <w:sz w:val="26"/>
          <w:szCs w:val="26"/>
        </w:rPr>
        <w:t xml:space="preserve"> i ve střední Evropě</w:t>
      </w:r>
      <w:r w:rsidR="009D26BA">
        <w:rPr>
          <w:rFonts w:ascii="Arial" w:hAnsi="Arial" w:cs="Arial"/>
          <w:b/>
          <w:bCs/>
          <w:sz w:val="26"/>
          <w:szCs w:val="26"/>
        </w:rPr>
        <w:t xml:space="preserve"> meziročně klesl </w:t>
      </w:r>
    </w:p>
    <w:p w14:paraId="5CA8CB40" w14:textId="77777777" w:rsidR="007A39B8" w:rsidRPr="007A39B8" w:rsidRDefault="007A39B8" w:rsidP="007A39B8">
      <w:pPr>
        <w:pStyle w:val="Default"/>
        <w:spacing w:line="264" w:lineRule="auto"/>
        <w:jc w:val="both"/>
        <w:rPr>
          <w:rFonts w:eastAsia="Times New Roman"/>
          <w:b/>
          <w:bCs/>
          <w:sz w:val="28"/>
          <w:szCs w:val="28"/>
          <w:lang w:eastAsia="cs-CZ"/>
        </w:rPr>
      </w:pPr>
    </w:p>
    <w:p w14:paraId="4FFE4FDB" w14:textId="444D9C8F" w:rsidR="005500FE" w:rsidRPr="007672E8" w:rsidRDefault="005500FE" w:rsidP="005500FE">
      <w:pPr>
        <w:pStyle w:val="Default"/>
        <w:spacing w:line="264" w:lineRule="auto"/>
        <w:jc w:val="both"/>
        <w:rPr>
          <w:rFonts w:eastAsia="Times New Roman"/>
          <w:b/>
          <w:bCs/>
          <w:lang w:eastAsia="cs-CZ"/>
        </w:rPr>
      </w:pPr>
      <w:r w:rsidRPr="005500FE">
        <w:rPr>
          <w:rFonts w:eastAsia="Times New Roman"/>
          <w:b/>
          <w:bCs/>
          <w:sz w:val="22"/>
          <w:szCs w:val="22"/>
          <w:lang w:eastAsia="cs-CZ"/>
        </w:rPr>
        <w:t xml:space="preserve">Počet i objem transakcí na trhu fúzí a akvizic v České republice v letošním </w:t>
      </w:r>
      <w:r w:rsidR="009D26BA">
        <w:rPr>
          <w:rFonts w:eastAsia="Times New Roman"/>
          <w:b/>
          <w:bCs/>
          <w:sz w:val="22"/>
          <w:szCs w:val="22"/>
          <w:lang w:eastAsia="cs-CZ"/>
        </w:rPr>
        <w:t>druhém</w:t>
      </w:r>
      <w:r w:rsidRPr="005500FE">
        <w:rPr>
          <w:rFonts w:eastAsia="Times New Roman"/>
          <w:b/>
          <w:bCs/>
          <w:sz w:val="22"/>
          <w:szCs w:val="22"/>
          <w:lang w:eastAsia="cs-CZ"/>
        </w:rPr>
        <w:t xml:space="preserve"> čtvrtletí meziročně</w:t>
      </w:r>
      <w:r w:rsidR="00C64D57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r w:rsidR="009D26BA">
        <w:rPr>
          <w:rFonts w:eastAsia="Times New Roman"/>
          <w:b/>
          <w:bCs/>
          <w:sz w:val="22"/>
          <w:szCs w:val="22"/>
          <w:lang w:eastAsia="cs-CZ"/>
        </w:rPr>
        <w:t>klesl</w:t>
      </w:r>
      <w:r w:rsidRPr="005500FE">
        <w:rPr>
          <w:rFonts w:eastAsia="Times New Roman"/>
          <w:b/>
          <w:bCs/>
          <w:sz w:val="22"/>
          <w:szCs w:val="22"/>
          <w:lang w:eastAsia="cs-CZ"/>
        </w:rPr>
        <w:t xml:space="preserve">. </w:t>
      </w:r>
      <w:r w:rsidR="00C012A6" w:rsidRPr="00C012A6">
        <w:rPr>
          <w:rFonts w:eastAsia="Times New Roman"/>
          <w:b/>
          <w:bCs/>
          <w:sz w:val="22"/>
          <w:szCs w:val="22"/>
          <w:lang w:eastAsia="cs-CZ"/>
        </w:rPr>
        <w:t>Na území Č</w:t>
      </w:r>
      <w:r w:rsidR="009D26BA">
        <w:rPr>
          <w:rFonts w:eastAsia="Times New Roman"/>
          <w:b/>
          <w:bCs/>
          <w:sz w:val="22"/>
          <w:szCs w:val="22"/>
          <w:lang w:eastAsia="cs-CZ"/>
        </w:rPr>
        <w:t>eské republiky</w:t>
      </w:r>
      <w:r w:rsidR="00C012A6" w:rsidRPr="00C012A6">
        <w:rPr>
          <w:rFonts w:eastAsia="Times New Roman"/>
          <w:b/>
          <w:bCs/>
          <w:sz w:val="22"/>
          <w:szCs w:val="22"/>
          <w:lang w:eastAsia="cs-CZ"/>
        </w:rPr>
        <w:t xml:space="preserve"> či se zapojením ČR se uskutečnilo 1</w:t>
      </w:r>
      <w:r w:rsidR="009D26BA">
        <w:rPr>
          <w:rFonts w:eastAsia="Times New Roman"/>
          <w:b/>
          <w:bCs/>
          <w:sz w:val="22"/>
          <w:szCs w:val="22"/>
          <w:lang w:eastAsia="cs-CZ"/>
        </w:rPr>
        <w:t>3</w:t>
      </w:r>
      <w:r w:rsidR="00C012A6" w:rsidRPr="009D26BA">
        <w:rPr>
          <w:rFonts w:eastAsia="Times New Roman"/>
          <w:b/>
          <w:bCs/>
          <w:sz w:val="22"/>
          <w:szCs w:val="22"/>
          <w:lang w:eastAsia="cs-CZ"/>
        </w:rPr>
        <w:t xml:space="preserve"> transakcí za </w:t>
      </w:r>
      <w:r w:rsidR="009D26BA" w:rsidRPr="009D26BA">
        <w:rPr>
          <w:rFonts w:eastAsia="Times New Roman"/>
          <w:b/>
          <w:bCs/>
          <w:sz w:val="22"/>
          <w:szCs w:val="22"/>
          <w:lang w:eastAsia="cs-CZ"/>
        </w:rPr>
        <w:t>154</w:t>
      </w:r>
      <w:r w:rsidR="00C012A6" w:rsidRPr="009D26BA">
        <w:rPr>
          <w:rFonts w:eastAsia="Times New Roman"/>
          <w:b/>
          <w:bCs/>
          <w:sz w:val="22"/>
          <w:szCs w:val="22"/>
          <w:lang w:eastAsia="cs-CZ"/>
        </w:rPr>
        <w:t xml:space="preserve"> milionů eur (</w:t>
      </w:r>
      <w:r w:rsidR="009D26BA" w:rsidRPr="009D26BA">
        <w:rPr>
          <w:rFonts w:eastAsia="Times New Roman"/>
          <w:b/>
          <w:bCs/>
          <w:sz w:val="22"/>
          <w:szCs w:val="22"/>
          <w:lang w:eastAsia="cs-CZ"/>
        </w:rPr>
        <w:t>3,</w:t>
      </w:r>
      <w:r w:rsidR="00C012A6" w:rsidRPr="009D26BA">
        <w:rPr>
          <w:rFonts w:eastAsia="Times New Roman"/>
          <w:b/>
          <w:bCs/>
          <w:sz w:val="22"/>
          <w:szCs w:val="22"/>
          <w:lang w:eastAsia="cs-CZ"/>
        </w:rPr>
        <w:t xml:space="preserve">8 miliardy Kč). Ve stejné období loni to bylo </w:t>
      </w:r>
      <w:r w:rsidR="009D26BA" w:rsidRPr="009D26BA">
        <w:rPr>
          <w:rFonts w:eastAsia="Times New Roman"/>
          <w:b/>
          <w:bCs/>
          <w:sz w:val="22"/>
          <w:szCs w:val="22"/>
          <w:lang w:eastAsia="cs-CZ"/>
        </w:rPr>
        <w:t>23</w:t>
      </w:r>
      <w:r w:rsidR="00C012A6" w:rsidRPr="009D26BA">
        <w:rPr>
          <w:rFonts w:eastAsia="Times New Roman"/>
          <w:b/>
          <w:bCs/>
          <w:sz w:val="22"/>
          <w:szCs w:val="22"/>
          <w:lang w:eastAsia="cs-CZ"/>
        </w:rPr>
        <w:t xml:space="preserve"> transakcí za </w:t>
      </w:r>
      <w:r w:rsidR="009D26BA" w:rsidRPr="009D26BA">
        <w:rPr>
          <w:rFonts w:eastAsia="Times New Roman"/>
          <w:b/>
          <w:bCs/>
          <w:sz w:val="22"/>
          <w:szCs w:val="22"/>
          <w:lang w:eastAsia="cs-CZ"/>
        </w:rPr>
        <w:t>207</w:t>
      </w:r>
      <w:r w:rsidR="00C012A6" w:rsidRPr="009D26BA">
        <w:rPr>
          <w:rFonts w:eastAsia="Times New Roman"/>
          <w:b/>
          <w:bCs/>
          <w:sz w:val="22"/>
          <w:szCs w:val="22"/>
          <w:lang w:eastAsia="cs-CZ"/>
        </w:rPr>
        <w:t xml:space="preserve"> milionů eur (cca </w:t>
      </w:r>
      <w:r w:rsidR="009D26BA" w:rsidRPr="009D26BA">
        <w:rPr>
          <w:rFonts w:eastAsia="Times New Roman"/>
          <w:b/>
          <w:bCs/>
          <w:sz w:val="22"/>
          <w:szCs w:val="22"/>
          <w:lang w:eastAsia="cs-CZ"/>
        </w:rPr>
        <w:t xml:space="preserve">5,1 miliardy </w:t>
      </w:r>
      <w:r w:rsidR="00C012A6" w:rsidRPr="009D26BA">
        <w:rPr>
          <w:rFonts w:eastAsia="Times New Roman"/>
          <w:b/>
          <w:bCs/>
          <w:sz w:val="22"/>
          <w:szCs w:val="22"/>
          <w:lang w:eastAsia="cs-CZ"/>
        </w:rPr>
        <w:t xml:space="preserve">Kč). </w:t>
      </w:r>
      <w:r w:rsidR="009D26BA" w:rsidRPr="009D26BA">
        <w:rPr>
          <w:rFonts w:eastAsia="Times New Roman"/>
          <w:b/>
          <w:bCs/>
          <w:sz w:val="22"/>
          <w:szCs w:val="22"/>
          <w:lang w:eastAsia="cs-CZ"/>
        </w:rPr>
        <w:t>Největší transakce se uskutečnila v energetice, a to akvizice 80</w:t>
      </w:r>
      <w:r w:rsidR="007672E8">
        <w:rPr>
          <w:rFonts w:eastAsia="Times New Roman"/>
          <w:b/>
          <w:bCs/>
          <w:sz w:val="22"/>
          <w:szCs w:val="22"/>
          <w:lang w:eastAsia="cs-CZ"/>
        </w:rPr>
        <w:t>%</w:t>
      </w:r>
      <w:r w:rsidR="009D26BA" w:rsidRPr="009D26BA">
        <w:rPr>
          <w:rFonts w:eastAsia="Times New Roman"/>
          <w:b/>
          <w:bCs/>
          <w:sz w:val="22"/>
          <w:szCs w:val="22"/>
          <w:lang w:eastAsia="cs-CZ"/>
        </w:rPr>
        <w:t xml:space="preserve"> podílu na společnosti Elektrárna Dukovany II.</w:t>
      </w:r>
      <w:r w:rsidR="007672E8">
        <w:rPr>
          <w:rFonts w:eastAsia="Times New Roman"/>
          <w:b/>
          <w:bCs/>
          <w:lang w:eastAsia="cs-CZ"/>
        </w:rPr>
        <w:t xml:space="preserve"> </w:t>
      </w:r>
      <w:r w:rsidR="00466635">
        <w:rPr>
          <w:rFonts w:eastAsia="Times New Roman"/>
          <w:b/>
          <w:bCs/>
          <w:sz w:val="22"/>
          <w:szCs w:val="22"/>
          <w:lang w:eastAsia="cs-CZ"/>
        </w:rPr>
        <w:t>S</w:t>
      </w:r>
      <w:r w:rsidR="00466635" w:rsidRPr="00466635">
        <w:rPr>
          <w:rFonts w:eastAsia="Times New Roman"/>
          <w:b/>
          <w:bCs/>
          <w:sz w:val="22"/>
          <w:szCs w:val="22"/>
          <w:lang w:eastAsia="cs-CZ"/>
        </w:rPr>
        <w:t xml:space="preserve">ituaci </w:t>
      </w:r>
      <w:r w:rsidR="00466635">
        <w:rPr>
          <w:rFonts w:eastAsia="Times New Roman"/>
          <w:b/>
          <w:bCs/>
          <w:sz w:val="22"/>
          <w:szCs w:val="22"/>
          <w:lang w:eastAsia="cs-CZ"/>
        </w:rPr>
        <w:t>na trhu ovlivňuje kromě</w:t>
      </w:r>
      <w:r w:rsidR="00466635" w:rsidRPr="00466635">
        <w:rPr>
          <w:rFonts w:eastAsia="Times New Roman"/>
          <w:b/>
          <w:bCs/>
          <w:sz w:val="22"/>
          <w:szCs w:val="22"/>
          <w:lang w:eastAsia="cs-CZ"/>
        </w:rPr>
        <w:t xml:space="preserve"> válečného konfliktu na Ukrajině nově také geopolitické napětí spojené s politikou celních tarifů USA</w:t>
      </w:r>
      <w:r w:rsidR="00466635">
        <w:rPr>
          <w:rFonts w:eastAsia="Times New Roman"/>
          <w:b/>
          <w:bCs/>
          <w:sz w:val="22"/>
          <w:szCs w:val="22"/>
          <w:lang w:eastAsia="cs-CZ"/>
        </w:rPr>
        <w:t>.</w:t>
      </w:r>
      <w:r w:rsidR="00466635">
        <w:rPr>
          <w:rFonts w:eastAsia="Times New Roman"/>
          <w:b/>
          <w:bCs/>
          <w:lang w:eastAsia="cs-CZ"/>
        </w:rPr>
        <w:t xml:space="preserve"> </w:t>
      </w:r>
    </w:p>
    <w:p w14:paraId="2AC50AFB" w14:textId="77777777" w:rsidR="00C64D57" w:rsidRDefault="00C64D57" w:rsidP="005500FE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</w:p>
    <w:p w14:paraId="594739D7" w14:textId="07C025D0" w:rsidR="007672E8" w:rsidRPr="007672E8" w:rsidRDefault="007672E8" w:rsidP="007672E8">
      <w:pPr>
        <w:pStyle w:val="Default"/>
        <w:spacing w:line="264" w:lineRule="auto"/>
        <w:jc w:val="both"/>
        <w:rPr>
          <w:rFonts w:eastAsia="Calibri"/>
          <w:color w:val="auto"/>
          <w:sz w:val="22"/>
          <w:szCs w:val="22"/>
        </w:rPr>
      </w:pPr>
      <w:r w:rsidRPr="007672E8">
        <w:rPr>
          <w:rFonts w:eastAsia="Calibri"/>
          <w:color w:val="auto"/>
          <w:sz w:val="22"/>
          <w:szCs w:val="22"/>
        </w:rPr>
        <w:t>O akvizici Elektrárny Dukovany II se postaral přímo stát, který podíl koupil od české energetické skupiny ČEZ. Té zůstane 20</w:t>
      </w:r>
      <w:r>
        <w:rPr>
          <w:rFonts w:eastAsia="Calibri"/>
          <w:color w:val="auto"/>
          <w:sz w:val="22"/>
          <w:szCs w:val="22"/>
        </w:rPr>
        <w:t>%</w:t>
      </w:r>
      <w:r w:rsidRPr="007672E8">
        <w:rPr>
          <w:rFonts w:eastAsia="Calibri"/>
          <w:color w:val="auto"/>
          <w:sz w:val="22"/>
          <w:szCs w:val="22"/>
        </w:rPr>
        <w:t xml:space="preserve"> podíl. </w:t>
      </w:r>
      <w:r w:rsidRPr="007672E8">
        <w:rPr>
          <w:rFonts w:eastAsia="Calibri"/>
          <w:i/>
          <w:iCs/>
          <w:color w:val="auto"/>
          <w:sz w:val="22"/>
          <w:szCs w:val="22"/>
        </w:rPr>
        <w:t>„Vláda ČR tak učinila klíčová rozhodnutí pro pokračování projektu výstavby nových jaderných bloků v lokalitě Dukovan. Přímé zapojení státu tak bylo logické a také nezbytné pro výstavbu nových bloků s ohledem na udržení stability jak projektu, tak i finanční stability společnosti ČEZ,“</w:t>
      </w:r>
      <w:r>
        <w:rPr>
          <w:rFonts w:eastAsia="Calibri"/>
          <w:color w:val="auto"/>
          <w:sz w:val="22"/>
          <w:szCs w:val="22"/>
        </w:rPr>
        <w:t xml:space="preserve"> uvedl </w:t>
      </w:r>
      <w:r w:rsidRPr="007672E8">
        <w:rPr>
          <w:rFonts w:eastAsia="Calibri"/>
          <w:color w:val="auto"/>
          <w:sz w:val="22"/>
          <w:szCs w:val="22"/>
        </w:rPr>
        <w:t>Jiří Hlaváč partner TPA Valuation &amp; Advisory. Cena transakce činila 144 milionů eur.</w:t>
      </w:r>
    </w:p>
    <w:p w14:paraId="391C50C7" w14:textId="77777777" w:rsidR="001E27EA" w:rsidRDefault="001E27EA" w:rsidP="00AD0D2A">
      <w:pPr>
        <w:pStyle w:val="Default"/>
        <w:spacing w:line="264" w:lineRule="auto"/>
        <w:jc w:val="both"/>
        <w:rPr>
          <w:rFonts w:eastAsia="Calibri"/>
          <w:color w:val="auto"/>
          <w:sz w:val="20"/>
          <w:szCs w:val="20"/>
        </w:rPr>
      </w:pPr>
    </w:p>
    <w:p w14:paraId="1FC6BE4D" w14:textId="4852CC60" w:rsidR="001E27EA" w:rsidRDefault="007672E8" w:rsidP="00AD0D2A">
      <w:pPr>
        <w:pStyle w:val="Default"/>
        <w:spacing w:line="264" w:lineRule="auto"/>
        <w:jc w:val="both"/>
        <w:rPr>
          <w:rFonts w:eastAsia="Calibri"/>
          <w:color w:val="auto"/>
          <w:sz w:val="22"/>
          <w:szCs w:val="22"/>
        </w:rPr>
      </w:pPr>
      <w:r w:rsidRPr="007672E8">
        <w:rPr>
          <w:rFonts w:eastAsia="Calibri"/>
          <w:color w:val="auto"/>
          <w:sz w:val="22"/>
          <w:szCs w:val="22"/>
        </w:rPr>
        <w:t>V celém středoevropském regionu (Albánie, Bulharsko, Černá Hora, Česká republika, Chorvatsko, Maďarsko, Polsko, Rakousko, Rumunsko, Slovensko, Slovinsko a Srbsko) TPA registruje meziroční pokles počtu transakcí o 36 procent na 152. Zároveň objem transakcí klesl na 5,86 miliardy eur (zhruba 144 miliard Kč) z 10,1 miliardy eur (cca 249 miliard Kč) ve stejném období loni. Nejvíce transakcí bylo zaznamenáno opět v Polsku, a zemí s největším objemem</w:t>
      </w:r>
      <w:r>
        <w:rPr>
          <w:rFonts w:eastAsia="Calibri"/>
          <w:color w:val="auto"/>
          <w:sz w:val="22"/>
          <w:szCs w:val="22"/>
        </w:rPr>
        <w:t xml:space="preserve"> transakcí</w:t>
      </w:r>
      <w:r w:rsidRPr="007672E8">
        <w:rPr>
          <w:rFonts w:eastAsia="Calibri"/>
          <w:color w:val="auto"/>
          <w:sz w:val="22"/>
          <w:szCs w:val="22"/>
        </w:rPr>
        <w:t xml:space="preserve"> se stalo Rakousko.</w:t>
      </w:r>
    </w:p>
    <w:p w14:paraId="0904BD01" w14:textId="77777777" w:rsidR="007672E8" w:rsidRDefault="007672E8" w:rsidP="00AD0D2A">
      <w:pPr>
        <w:pStyle w:val="Default"/>
        <w:spacing w:line="264" w:lineRule="auto"/>
        <w:jc w:val="both"/>
        <w:rPr>
          <w:rFonts w:eastAsia="Calibri"/>
          <w:color w:val="auto"/>
          <w:sz w:val="22"/>
          <w:szCs w:val="22"/>
        </w:rPr>
      </w:pPr>
    </w:p>
    <w:p w14:paraId="6DA88B47" w14:textId="600AB500" w:rsidR="007672E8" w:rsidRDefault="007672E8" w:rsidP="007672E8">
      <w:pPr>
        <w:pStyle w:val="Default"/>
        <w:spacing w:line="264" w:lineRule="auto"/>
        <w:jc w:val="both"/>
        <w:rPr>
          <w:rFonts w:eastAsia="Calibri"/>
          <w:color w:val="auto"/>
          <w:sz w:val="22"/>
          <w:szCs w:val="22"/>
        </w:rPr>
      </w:pPr>
      <w:r w:rsidRPr="007672E8">
        <w:rPr>
          <w:rFonts w:eastAsia="Calibri"/>
          <w:color w:val="auto"/>
          <w:sz w:val="22"/>
          <w:szCs w:val="22"/>
        </w:rPr>
        <w:t>Nejvýznamnější zveřejněnou transakcí ve druhém čtvrtletí v regionu byla akvizice amerického, lucemburského a rakouského byznysu investičního managementu společnosti Macquarie. Kupcem byla japonská společnost Nomura, která se řadí mezi největší japonské banky. Tři prodávané firmy spravují v aktivech retailových a institucionálních klientů zhruba přibližně 180 miliard dolarů. Cena za</w:t>
      </w:r>
      <w:r>
        <w:rPr>
          <w:rFonts w:eastAsia="Calibri"/>
          <w:color w:val="auto"/>
          <w:sz w:val="22"/>
          <w:szCs w:val="22"/>
        </w:rPr>
        <w:t xml:space="preserve"> </w:t>
      </w:r>
      <w:r w:rsidRPr="007672E8">
        <w:rPr>
          <w:rFonts w:eastAsia="Calibri"/>
          <w:color w:val="auto"/>
          <w:sz w:val="22"/>
          <w:szCs w:val="22"/>
        </w:rPr>
        <w:t>transakci byla 1,569 miliardy eur.</w:t>
      </w:r>
    </w:p>
    <w:p w14:paraId="2D71961E" w14:textId="77777777" w:rsidR="007672E8" w:rsidRDefault="007672E8" w:rsidP="00AD0D2A">
      <w:pPr>
        <w:pStyle w:val="Default"/>
        <w:spacing w:line="264" w:lineRule="auto"/>
        <w:jc w:val="both"/>
        <w:rPr>
          <w:rFonts w:eastAsia="Calibri"/>
          <w:color w:val="auto"/>
          <w:sz w:val="22"/>
          <w:szCs w:val="22"/>
        </w:rPr>
      </w:pPr>
    </w:p>
    <w:p w14:paraId="72821B3C" w14:textId="10FBACF8" w:rsidR="007672E8" w:rsidRDefault="007672E8" w:rsidP="00AD0D2A">
      <w:pPr>
        <w:pStyle w:val="Default"/>
        <w:spacing w:line="264" w:lineRule="auto"/>
        <w:jc w:val="both"/>
        <w:rPr>
          <w:rFonts w:eastAsia="Calibri"/>
          <w:color w:val="auto"/>
          <w:sz w:val="22"/>
          <w:szCs w:val="22"/>
        </w:rPr>
      </w:pPr>
      <w:r w:rsidRPr="007672E8">
        <w:rPr>
          <w:rFonts w:eastAsia="Calibri"/>
          <w:i/>
          <w:iCs/>
          <w:color w:val="auto"/>
          <w:sz w:val="22"/>
          <w:szCs w:val="22"/>
        </w:rPr>
        <w:t>„V první polovině roku 2025 se oproti druhé polovině roku 2024 zvýšil objem transakcí v regionu CEE o téměř 14 procent. Počet transakcí se známou hodnotou je však na minimálních hodnotách a celkový počet transakcí je také nižší,“</w:t>
      </w:r>
      <w:r w:rsidRPr="007672E8">
        <w:rPr>
          <w:rFonts w:eastAsia="Calibri"/>
          <w:color w:val="auto"/>
          <w:sz w:val="22"/>
          <w:szCs w:val="22"/>
        </w:rPr>
        <w:t xml:space="preserve"> </w:t>
      </w:r>
      <w:r>
        <w:rPr>
          <w:rFonts w:eastAsia="Calibri"/>
          <w:color w:val="auto"/>
          <w:sz w:val="22"/>
          <w:szCs w:val="22"/>
        </w:rPr>
        <w:t>doplnil</w:t>
      </w:r>
      <w:r w:rsidRPr="007672E8">
        <w:rPr>
          <w:rFonts w:eastAsia="Calibri"/>
          <w:color w:val="auto"/>
          <w:sz w:val="22"/>
          <w:szCs w:val="22"/>
        </w:rPr>
        <w:t xml:space="preserve"> </w:t>
      </w:r>
      <w:r>
        <w:rPr>
          <w:rFonts w:eastAsia="Calibri"/>
          <w:color w:val="auto"/>
          <w:sz w:val="22"/>
          <w:szCs w:val="22"/>
        </w:rPr>
        <w:t>Jiří Hlaváč</w:t>
      </w:r>
      <w:r w:rsidRPr="007672E8">
        <w:rPr>
          <w:rFonts w:eastAsia="Calibri"/>
          <w:color w:val="auto"/>
          <w:sz w:val="22"/>
          <w:szCs w:val="22"/>
        </w:rPr>
        <w:t>.</w:t>
      </w:r>
    </w:p>
    <w:p w14:paraId="5E6CBC20" w14:textId="77777777" w:rsidR="007672E8" w:rsidRDefault="007672E8" w:rsidP="00AD0D2A">
      <w:pPr>
        <w:pStyle w:val="Default"/>
        <w:spacing w:line="264" w:lineRule="auto"/>
        <w:jc w:val="both"/>
        <w:rPr>
          <w:rFonts w:eastAsia="Calibri"/>
          <w:color w:val="auto"/>
          <w:sz w:val="22"/>
          <w:szCs w:val="22"/>
        </w:rPr>
      </w:pPr>
    </w:p>
    <w:p w14:paraId="236B2CA4" w14:textId="6B626F85" w:rsidR="007672E8" w:rsidRPr="00466635" w:rsidRDefault="007672E8" w:rsidP="002D345D">
      <w:pPr>
        <w:jc w:val="both"/>
        <w:rPr>
          <w:rFonts w:ascii="Arial" w:hAnsi="Arial" w:cs="Arial"/>
        </w:rPr>
      </w:pPr>
      <w:r w:rsidRPr="00466635">
        <w:rPr>
          <w:rFonts w:ascii="Arial" w:hAnsi="Arial" w:cs="Arial"/>
        </w:rPr>
        <w:t xml:space="preserve">Situaci na trhu fúzí a akvizic podle </w:t>
      </w:r>
      <w:r w:rsidR="00466635">
        <w:rPr>
          <w:rFonts w:ascii="Arial" w:hAnsi="Arial" w:cs="Arial"/>
        </w:rPr>
        <w:t>Jiřího Hlaváče</w:t>
      </w:r>
      <w:r w:rsidRPr="00466635">
        <w:rPr>
          <w:rFonts w:ascii="Arial" w:hAnsi="Arial" w:cs="Arial"/>
        </w:rPr>
        <w:t xml:space="preserve"> nadále ovlivňuje konflikt na Ukrajině, který je pro potenciální investory pokračujícím omezením v podobě nejistoty budoucího vývoje v celém regionu. </w:t>
      </w:r>
      <w:bookmarkStart w:id="0" w:name="_Hlk203485284"/>
      <w:r w:rsidRPr="00466635">
        <w:rPr>
          <w:rFonts w:ascii="Arial" w:hAnsi="Arial" w:cs="Arial"/>
        </w:rPr>
        <w:t>Na situaci má také nově vliv geopolitické napětí spojené s politikou celních tarifů USA</w:t>
      </w:r>
      <w:bookmarkEnd w:id="0"/>
      <w:r w:rsidRPr="00466635">
        <w:rPr>
          <w:rFonts w:ascii="Arial" w:hAnsi="Arial" w:cs="Arial"/>
        </w:rPr>
        <w:t>, které zvyšuje nejistotu a může negativně ovlivnit zahraniční investice.</w:t>
      </w:r>
    </w:p>
    <w:p w14:paraId="39D36CDA" w14:textId="77777777" w:rsidR="00466635" w:rsidRDefault="00466635" w:rsidP="0024364D">
      <w:pPr>
        <w:pStyle w:val="Default"/>
        <w:spacing w:line="264" w:lineRule="auto"/>
        <w:jc w:val="both"/>
        <w:rPr>
          <w:rFonts w:eastAsia="Calibri"/>
          <w:color w:val="auto"/>
          <w:sz w:val="22"/>
          <w:szCs w:val="22"/>
        </w:rPr>
      </w:pPr>
    </w:p>
    <w:p w14:paraId="4B3728CA" w14:textId="77777777" w:rsidR="00466635" w:rsidRDefault="00466635" w:rsidP="0024364D">
      <w:pPr>
        <w:pStyle w:val="Default"/>
        <w:spacing w:line="264" w:lineRule="auto"/>
        <w:jc w:val="both"/>
        <w:rPr>
          <w:rFonts w:eastAsia="Calibri"/>
          <w:color w:val="auto"/>
          <w:sz w:val="22"/>
          <w:szCs w:val="22"/>
        </w:rPr>
      </w:pPr>
    </w:p>
    <w:p w14:paraId="37F2A284" w14:textId="488DEDB8" w:rsidR="002D345D" w:rsidRDefault="00D05BA1" w:rsidP="0024364D">
      <w:pPr>
        <w:pStyle w:val="Default"/>
        <w:spacing w:line="264" w:lineRule="auto"/>
        <w:jc w:val="both"/>
        <w:rPr>
          <w:i/>
          <w:iCs/>
          <w:sz w:val="22"/>
          <w:szCs w:val="22"/>
        </w:rPr>
      </w:pPr>
      <w:r w:rsidRPr="00D05BA1">
        <w:rPr>
          <w:i/>
          <w:iCs/>
          <w:sz w:val="22"/>
          <w:szCs w:val="22"/>
        </w:rPr>
        <w:t xml:space="preserve">„Pro rok 2025 jsme očekávali oživení trhu fúzí a akvizic, nicméně přetrvávající nejistota způsobená globální geopolitickou situací tomu zatím nepřeje,“ </w:t>
      </w:r>
      <w:r w:rsidRPr="00D05BA1">
        <w:rPr>
          <w:sz w:val="22"/>
          <w:szCs w:val="22"/>
        </w:rPr>
        <w:t>uvedl Jiří Hlaváč. Zároveň dodává, že investory i nadále přitahují odvětví jako počítačový software, automatizace, digitalizace, robotizace nebo telekomunikace. Trvalý zájem přetrvává také v oblasti energetiky, zdravotnictví a infrastruktury. Dlouhodobě zůstává atraktivní výroba s unikátním produktem.</w:t>
      </w:r>
    </w:p>
    <w:p w14:paraId="4C39180E" w14:textId="77777777" w:rsidR="00D05BA1" w:rsidRPr="0024364D" w:rsidRDefault="00D05BA1" w:rsidP="0024364D">
      <w:pPr>
        <w:pStyle w:val="Default"/>
        <w:spacing w:line="264" w:lineRule="auto"/>
        <w:jc w:val="both"/>
        <w:rPr>
          <w:sz w:val="22"/>
          <w:szCs w:val="22"/>
        </w:rPr>
      </w:pPr>
    </w:p>
    <w:p w14:paraId="3F2FBDE5" w14:textId="4E688ABD" w:rsidR="001E27EA" w:rsidRPr="00235BCD" w:rsidRDefault="00235BCD" w:rsidP="00AD0D2A">
      <w:pPr>
        <w:pStyle w:val="Default"/>
        <w:spacing w:line="264" w:lineRule="auto"/>
        <w:jc w:val="both"/>
        <w:rPr>
          <w:sz w:val="22"/>
          <w:szCs w:val="22"/>
        </w:rPr>
      </w:pPr>
      <w:r w:rsidRPr="00235BCD">
        <w:rPr>
          <w:sz w:val="22"/>
          <w:szCs w:val="22"/>
        </w:rPr>
        <w:t>Ve srovnání se prvním čtvrtletím letošního roku v celém regionu klesl počet transakcí o 28, přičemž objem transakcí mírně stoupl z 5,2 miliardy eur v prvním čtvrtletí. V Česku počet transakcí mezičtvrtletně klesl o sedm a objem o 583 milionů eur (737 milionů eur v 1. čtvrtletí 2025 vs. 154 milionů eur v 2. čtvrtletí).</w:t>
      </w:r>
    </w:p>
    <w:p w14:paraId="39E0E798" w14:textId="77777777" w:rsidR="0024364D" w:rsidRPr="00F41FA0" w:rsidRDefault="0024364D" w:rsidP="00F41FA0">
      <w:pPr>
        <w:rPr>
          <w:rFonts w:ascii="Arial" w:hAnsi="Arial" w:cs="Arial"/>
        </w:rPr>
      </w:pPr>
    </w:p>
    <w:p w14:paraId="368A6582" w14:textId="77777777" w:rsidR="00021254" w:rsidRDefault="0002125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66502C4" w14:textId="77777777" w:rsidR="00EB1C5A" w:rsidRPr="007A39B8" w:rsidRDefault="00EB1C5A" w:rsidP="007A39B8">
      <w:pPr>
        <w:pStyle w:val="F2-zkladn"/>
        <w:tabs>
          <w:tab w:val="right" w:pos="9070"/>
        </w:tabs>
        <w:spacing w:before="0" w:line="264" w:lineRule="auto"/>
        <w:rPr>
          <w:b/>
        </w:rPr>
      </w:pPr>
      <w:r w:rsidRPr="007A39B8">
        <w:rPr>
          <w:b/>
        </w:rPr>
        <w:t>Pro více informací kontaktujte:</w:t>
      </w:r>
    </w:p>
    <w:p w14:paraId="1C28118A" w14:textId="73FE04A0" w:rsidR="00EB1C5A" w:rsidRPr="007A39B8" w:rsidRDefault="002A3294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Kamila Žitnáková</w:t>
      </w:r>
    </w:p>
    <w:p w14:paraId="4835AA2F" w14:textId="77777777" w:rsidR="00EB1C5A" w:rsidRPr="007A39B8" w:rsidRDefault="00EB1C5A" w:rsidP="007A39B8">
      <w:pPr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r w:rsidRPr="007A39B8">
        <w:rPr>
          <w:rFonts w:ascii="Arial" w:hAnsi="Arial" w:cs="Arial"/>
          <w:b/>
          <w:bCs/>
          <w:sz w:val="20"/>
          <w:szCs w:val="20"/>
        </w:rPr>
        <w:t>Crest Communications, a.s.</w:t>
      </w:r>
    </w:p>
    <w:p w14:paraId="4DCE98C0" w14:textId="77777777" w:rsidR="00EB1C5A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Ostrovní 126/30</w:t>
      </w:r>
    </w:p>
    <w:p w14:paraId="09C6E920" w14:textId="77777777" w:rsidR="00EB1C5A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110 00 Praha 1</w:t>
      </w:r>
    </w:p>
    <w:p w14:paraId="2EEA2F44" w14:textId="5E276D42" w:rsidR="00EB1C5A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 xml:space="preserve">gsm: + 420 </w:t>
      </w:r>
      <w:r w:rsidR="003D5F96" w:rsidRPr="007A39B8">
        <w:rPr>
          <w:rFonts w:ascii="Arial" w:hAnsi="Arial" w:cs="Arial"/>
          <w:sz w:val="20"/>
          <w:szCs w:val="20"/>
        </w:rPr>
        <w:t>725 544 106</w:t>
      </w:r>
    </w:p>
    <w:p w14:paraId="692417D8" w14:textId="77777777" w:rsidR="00EB1C5A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Pr="007A39B8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28B3B900" w14:textId="5CDD139B" w:rsidR="00316D20" w:rsidRPr="007A39B8" w:rsidRDefault="00EB1C5A" w:rsidP="007A39B8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7A39B8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0" w:history="1">
        <w:r w:rsidR="002A3294" w:rsidRPr="007A39B8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0C9BF7BF" w14:textId="77777777" w:rsidR="002A3294" w:rsidRDefault="002A3294" w:rsidP="007A39B8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14:paraId="02B11144" w14:textId="77777777" w:rsidR="007A39B8" w:rsidRPr="007A39B8" w:rsidRDefault="007A39B8" w:rsidP="007A39B8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14:paraId="11CCEE53" w14:textId="77777777" w:rsidR="005A2DC0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b/>
          <w:sz w:val="20"/>
          <w:szCs w:val="20"/>
        </w:rPr>
        <w:t>Informace pro editory:</w:t>
      </w:r>
    </w:p>
    <w:p w14:paraId="7DDF97E7" w14:textId="77777777" w:rsidR="005A2DC0" w:rsidRPr="007A39B8" w:rsidRDefault="005A2DC0" w:rsidP="007A39B8">
      <w:pPr>
        <w:pStyle w:val="F2-zkladn"/>
        <w:spacing w:before="0" w:line="264" w:lineRule="auto"/>
        <w:rPr>
          <w:b/>
        </w:rPr>
      </w:pPr>
    </w:p>
    <w:p w14:paraId="05D36A23" w14:textId="77777777" w:rsidR="00EB1C5A" w:rsidRDefault="00EB1C5A" w:rsidP="007A39B8">
      <w:pPr>
        <w:pStyle w:val="F2-zkladn"/>
        <w:spacing w:before="0" w:line="264" w:lineRule="auto"/>
      </w:pPr>
      <w:r w:rsidRPr="007A39B8">
        <w:t xml:space="preserve">Skupina </w:t>
      </w:r>
      <w:r w:rsidRPr="007A39B8">
        <w:rPr>
          <w:b/>
        </w:rPr>
        <w:t>TPA Group</w:t>
      </w:r>
      <w:r w:rsidRPr="007A39B8">
        <w:t xml:space="preserve"> poskytuje v České republice své služby od roku </w:t>
      </w:r>
      <w:smartTag w:uri="urn:schemas-microsoft-com:office:smarttags" w:element="metricconverter">
        <w:smartTagPr>
          <w:attr w:name="ProductID" w:val="1993 a"/>
        </w:smartTagPr>
        <w:r w:rsidRPr="007A39B8">
          <w:t>1993 a</w:t>
        </w:r>
      </w:smartTag>
      <w:r w:rsidRPr="007A39B8">
        <w:t xml:space="preserve"> působí celkem v</w:t>
      </w:r>
      <w:r w:rsidR="00483CC4" w:rsidRPr="007A39B8">
        <w:t>e dvanácti</w:t>
      </w:r>
      <w:r w:rsidRPr="007A39B8">
        <w:t xml:space="preserve"> zemích střední a jihovýchodní Evropy. </w:t>
      </w:r>
      <w:r w:rsidR="009B0DF4" w:rsidRPr="007A39B8">
        <w:t xml:space="preserve">Poskytuje služby zejména v oblastech daňově poradenství, vedení účetnictví, auditu, oceňování a poradenství při akvizicích. </w:t>
      </w:r>
      <w:r w:rsidRPr="007A39B8">
        <w:t xml:space="preserve"> Zaměřuje se především na korporátní klienty podnikající na mezinárodní úrovni v oblasti střední a jihovýchodní Evropy. Skupina TPA Group je nezávislým členem aliance</w:t>
      </w:r>
      <w:r w:rsidRPr="007A39B8">
        <w:rPr>
          <w:b/>
        </w:rPr>
        <w:t xml:space="preserve"> Baker Tilly Europe Alliance</w:t>
      </w:r>
      <w:r w:rsidRPr="007A39B8">
        <w:t xml:space="preserve">, jejímiž dalšími členy je celosvětová poradenská síť </w:t>
      </w:r>
      <w:hyperlink r:id="rId11" w:history="1">
        <w:r w:rsidRPr="007A39B8">
          <w:rPr>
            <w:rStyle w:val="Hypertextovodkaz"/>
            <w:b/>
          </w:rPr>
          <w:t>Baker Tilly International</w:t>
        </w:r>
      </w:hyperlink>
      <w:r w:rsidRPr="007A39B8">
        <w:t xml:space="preserve"> a samostatný člen Baker Tilly International, </w:t>
      </w:r>
      <w:hyperlink r:id="rId12" w:history="1">
        <w:r w:rsidR="00433B9A" w:rsidRPr="007A39B8">
          <w:rPr>
            <w:rStyle w:val="Hypertextovodkaz"/>
            <w:b/>
          </w:rPr>
          <w:t>Baker Tilly</w:t>
        </w:r>
      </w:hyperlink>
      <w:r w:rsidRPr="007A39B8">
        <w:t xml:space="preserve"> v Německu. Díky členství v Baker Tilly Europe Allience nabízí skupina TPA Group svým klientům služby globální sítě Baker Tilly International, která patří do první desítky celosvětových poradenských sítí. </w:t>
      </w:r>
    </w:p>
    <w:p w14:paraId="24B4D0B6" w14:textId="77777777" w:rsidR="00BA2004" w:rsidRPr="007A39B8" w:rsidRDefault="00BA2004" w:rsidP="007A39B8">
      <w:pPr>
        <w:pStyle w:val="F2-zkladn"/>
        <w:spacing w:before="0" w:line="264" w:lineRule="auto"/>
      </w:pPr>
    </w:p>
    <w:p w14:paraId="1A9B85E0" w14:textId="01DD576C" w:rsidR="001272D9" w:rsidRDefault="001272D9"/>
    <w:sectPr w:rsidR="001272D9" w:rsidSect="00FD07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5EEC6" w14:textId="77777777" w:rsidR="00A0764F" w:rsidRDefault="00A0764F" w:rsidP="00087B0F">
      <w:pPr>
        <w:spacing w:after="0" w:line="240" w:lineRule="auto"/>
      </w:pPr>
      <w:r>
        <w:separator/>
      </w:r>
    </w:p>
  </w:endnote>
  <w:endnote w:type="continuationSeparator" w:id="0">
    <w:p w14:paraId="69F3AFE3" w14:textId="77777777" w:rsidR="00A0764F" w:rsidRDefault="00A0764F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C443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E5DD5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939D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D79A6" w14:textId="77777777" w:rsidR="00A0764F" w:rsidRDefault="00A0764F" w:rsidP="00087B0F">
      <w:pPr>
        <w:spacing w:after="0" w:line="240" w:lineRule="auto"/>
      </w:pPr>
      <w:r>
        <w:separator/>
      </w:r>
    </w:p>
  </w:footnote>
  <w:footnote w:type="continuationSeparator" w:id="0">
    <w:p w14:paraId="032D821C" w14:textId="77777777" w:rsidR="00A0764F" w:rsidRDefault="00A0764F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97B2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4D380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FBAF7B" wp14:editId="5D87AFFD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BE73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21254"/>
    <w:rsid w:val="00024EB1"/>
    <w:rsid w:val="00034EAB"/>
    <w:rsid w:val="000474F2"/>
    <w:rsid w:val="0005087E"/>
    <w:rsid w:val="00056B71"/>
    <w:rsid w:val="00065420"/>
    <w:rsid w:val="00072CA9"/>
    <w:rsid w:val="00087B0F"/>
    <w:rsid w:val="000A2944"/>
    <w:rsid w:val="000B1F52"/>
    <w:rsid w:val="000E0603"/>
    <w:rsid w:val="000F648D"/>
    <w:rsid w:val="001272D9"/>
    <w:rsid w:val="001349D3"/>
    <w:rsid w:val="00147AAD"/>
    <w:rsid w:val="001514D6"/>
    <w:rsid w:val="001643CE"/>
    <w:rsid w:val="001665B3"/>
    <w:rsid w:val="001833EC"/>
    <w:rsid w:val="00190F27"/>
    <w:rsid w:val="001B248E"/>
    <w:rsid w:val="001C0CE4"/>
    <w:rsid w:val="001E27EA"/>
    <w:rsid w:val="001F387C"/>
    <w:rsid w:val="001F501D"/>
    <w:rsid w:val="002212EA"/>
    <w:rsid w:val="0022496F"/>
    <w:rsid w:val="00232D8F"/>
    <w:rsid w:val="00235BCD"/>
    <w:rsid w:val="0024364D"/>
    <w:rsid w:val="002467AC"/>
    <w:rsid w:val="002468A7"/>
    <w:rsid w:val="0025133B"/>
    <w:rsid w:val="0027105E"/>
    <w:rsid w:val="002948D0"/>
    <w:rsid w:val="002A3294"/>
    <w:rsid w:val="002A7D37"/>
    <w:rsid w:val="002D345D"/>
    <w:rsid w:val="002D4C48"/>
    <w:rsid w:val="002E39E1"/>
    <w:rsid w:val="00302ABC"/>
    <w:rsid w:val="0030704F"/>
    <w:rsid w:val="00307EBA"/>
    <w:rsid w:val="003143B9"/>
    <w:rsid w:val="003164A3"/>
    <w:rsid w:val="00316D20"/>
    <w:rsid w:val="003371D5"/>
    <w:rsid w:val="00381597"/>
    <w:rsid w:val="00385385"/>
    <w:rsid w:val="003916F2"/>
    <w:rsid w:val="003B5AE8"/>
    <w:rsid w:val="003D33AF"/>
    <w:rsid w:val="003D5F96"/>
    <w:rsid w:val="004010C0"/>
    <w:rsid w:val="00410BBE"/>
    <w:rsid w:val="00414BA1"/>
    <w:rsid w:val="00415AAB"/>
    <w:rsid w:val="004321DB"/>
    <w:rsid w:val="00433144"/>
    <w:rsid w:val="00433B9A"/>
    <w:rsid w:val="004432AB"/>
    <w:rsid w:val="0044506B"/>
    <w:rsid w:val="00466635"/>
    <w:rsid w:val="00474216"/>
    <w:rsid w:val="00483CC4"/>
    <w:rsid w:val="00490F1B"/>
    <w:rsid w:val="00494A82"/>
    <w:rsid w:val="00494D1A"/>
    <w:rsid w:val="004C261B"/>
    <w:rsid w:val="004D4BBC"/>
    <w:rsid w:val="004E2B60"/>
    <w:rsid w:val="004F1F03"/>
    <w:rsid w:val="0051646C"/>
    <w:rsid w:val="005318CD"/>
    <w:rsid w:val="0053615C"/>
    <w:rsid w:val="005500FE"/>
    <w:rsid w:val="005744B2"/>
    <w:rsid w:val="00590F8E"/>
    <w:rsid w:val="005A2487"/>
    <w:rsid w:val="005A2DC0"/>
    <w:rsid w:val="005E16B6"/>
    <w:rsid w:val="006271A1"/>
    <w:rsid w:val="00643BFA"/>
    <w:rsid w:val="00650005"/>
    <w:rsid w:val="00667056"/>
    <w:rsid w:val="0066733F"/>
    <w:rsid w:val="00677F43"/>
    <w:rsid w:val="006A65B5"/>
    <w:rsid w:val="006A7542"/>
    <w:rsid w:val="006B531A"/>
    <w:rsid w:val="006D4648"/>
    <w:rsid w:val="006D4B45"/>
    <w:rsid w:val="006E6C5B"/>
    <w:rsid w:val="006F39F5"/>
    <w:rsid w:val="00704800"/>
    <w:rsid w:val="00732B15"/>
    <w:rsid w:val="00734F7E"/>
    <w:rsid w:val="00735B2F"/>
    <w:rsid w:val="0075184E"/>
    <w:rsid w:val="00756665"/>
    <w:rsid w:val="00764026"/>
    <w:rsid w:val="007672E8"/>
    <w:rsid w:val="00784698"/>
    <w:rsid w:val="00792360"/>
    <w:rsid w:val="007A39B8"/>
    <w:rsid w:val="007B4CB7"/>
    <w:rsid w:val="007B5B26"/>
    <w:rsid w:val="007B5F1E"/>
    <w:rsid w:val="007C65E0"/>
    <w:rsid w:val="007C74F1"/>
    <w:rsid w:val="007D4CFC"/>
    <w:rsid w:val="007E1A19"/>
    <w:rsid w:val="00820D1C"/>
    <w:rsid w:val="00876906"/>
    <w:rsid w:val="008A6922"/>
    <w:rsid w:val="008B71E2"/>
    <w:rsid w:val="008C35C6"/>
    <w:rsid w:val="008D2CED"/>
    <w:rsid w:val="008D30B5"/>
    <w:rsid w:val="008E0CBB"/>
    <w:rsid w:val="008E4064"/>
    <w:rsid w:val="00911D3B"/>
    <w:rsid w:val="009312EA"/>
    <w:rsid w:val="0094373B"/>
    <w:rsid w:val="009448BF"/>
    <w:rsid w:val="00965886"/>
    <w:rsid w:val="00965982"/>
    <w:rsid w:val="00976D76"/>
    <w:rsid w:val="0097794D"/>
    <w:rsid w:val="0099767A"/>
    <w:rsid w:val="00997BD4"/>
    <w:rsid w:val="009A0B16"/>
    <w:rsid w:val="009B0DF4"/>
    <w:rsid w:val="009D26BA"/>
    <w:rsid w:val="009D56D4"/>
    <w:rsid w:val="009F5D62"/>
    <w:rsid w:val="009F6061"/>
    <w:rsid w:val="00A03AEB"/>
    <w:rsid w:val="00A06C5C"/>
    <w:rsid w:val="00A0764F"/>
    <w:rsid w:val="00A33148"/>
    <w:rsid w:val="00A71FE0"/>
    <w:rsid w:val="00A74319"/>
    <w:rsid w:val="00A75E11"/>
    <w:rsid w:val="00A77597"/>
    <w:rsid w:val="00AA1EC4"/>
    <w:rsid w:val="00AA2DB4"/>
    <w:rsid w:val="00AD0D2A"/>
    <w:rsid w:val="00AD6570"/>
    <w:rsid w:val="00AE3FEF"/>
    <w:rsid w:val="00AF39B5"/>
    <w:rsid w:val="00AF63E5"/>
    <w:rsid w:val="00B121F9"/>
    <w:rsid w:val="00B362B0"/>
    <w:rsid w:val="00B47281"/>
    <w:rsid w:val="00B66D84"/>
    <w:rsid w:val="00BA2004"/>
    <w:rsid w:val="00BA7058"/>
    <w:rsid w:val="00BB2F4F"/>
    <w:rsid w:val="00BC4A3D"/>
    <w:rsid w:val="00BD2839"/>
    <w:rsid w:val="00BE16A9"/>
    <w:rsid w:val="00BF7D01"/>
    <w:rsid w:val="00BF7EDF"/>
    <w:rsid w:val="00C012A6"/>
    <w:rsid w:val="00C27561"/>
    <w:rsid w:val="00C43F8F"/>
    <w:rsid w:val="00C64D57"/>
    <w:rsid w:val="00CB1852"/>
    <w:rsid w:val="00CC1656"/>
    <w:rsid w:val="00CD0F82"/>
    <w:rsid w:val="00CD249C"/>
    <w:rsid w:val="00D01576"/>
    <w:rsid w:val="00D04011"/>
    <w:rsid w:val="00D05BA1"/>
    <w:rsid w:val="00D23939"/>
    <w:rsid w:val="00D26944"/>
    <w:rsid w:val="00D4284D"/>
    <w:rsid w:val="00D579C4"/>
    <w:rsid w:val="00D67270"/>
    <w:rsid w:val="00D72C84"/>
    <w:rsid w:val="00D73B92"/>
    <w:rsid w:val="00D74683"/>
    <w:rsid w:val="00D93651"/>
    <w:rsid w:val="00DA18DA"/>
    <w:rsid w:val="00DB6D1B"/>
    <w:rsid w:val="00DC0782"/>
    <w:rsid w:val="00DC112F"/>
    <w:rsid w:val="00DC66EC"/>
    <w:rsid w:val="00DD06BF"/>
    <w:rsid w:val="00DF5919"/>
    <w:rsid w:val="00DF7E3A"/>
    <w:rsid w:val="00E20A11"/>
    <w:rsid w:val="00E30CAC"/>
    <w:rsid w:val="00E62DFE"/>
    <w:rsid w:val="00E9566A"/>
    <w:rsid w:val="00E97493"/>
    <w:rsid w:val="00EA436F"/>
    <w:rsid w:val="00EB1C5A"/>
    <w:rsid w:val="00ED4CF4"/>
    <w:rsid w:val="00F00E13"/>
    <w:rsid w:val="00F02693"/>
    <w:rsid w:val="00F230EE"/>
    <w:rsid w:val="00F32BD2"/>
    <w:rsid w:val="00F36A0A"/>
    <w:rsid w:val="00F41FA0"/>
    <w:rsid w:val="00F80911"/>
    <w:rsid w:val="00FD0701"/>
    <w:rsid w:val="00FE255D"/>
    <w:rsid w:val="00FF47A3"/>
    <w:rsid w:val="0239750A"/>
    <w:rsid w:val="024FA9DA"/>
    <w:rsid w:val="026A6F84"/>
    <w:rsid w:val="02C5C4BA"/>
    <w:rsid w:val="039DD79F"/>
    <w:rsid w:val="03CB2327"/>
    <w:rsid w:val="04063FE5"/>
    <w:rsid w:val="044554D7"/>
    <w:rsid w:val="061501E2"/>
    <w:rsid w:val="06AE04F5"/>
    <w:rsid w:val="06D76539"/>
    <w:rsid w:val="06DC7D90"/>
    <w:rsid w:val="0702C3E9"/>
    <w:rsid w:val="07130723"/>
    <w:rsid w:val="08049A85"/>
    <w:rsid w:val="0A046E03"/>
    <w:rsid w:val="0A516C91"/>
    <w:rsid w:val="0A56F19F"/>
    <w:rsid w:val="0B427BBE"/>
    <w:rsid w:val="0C2C7BDA"/>
    <w:rsid w:val="0CF067FA"/>
    <w:rsid w:val="0D23EB31"/>
    <w:rsid w:val="0D85A985"/>
    <w:rsid w:val="0D890D53"/>
    <w:rsid w:val="0D8E9261"/>
    <w:rsid w:val="0DA10B06"/>
    <w:rsid w:val="0DB0DAD7"/>
    <w:rsid w:val="0F24DDB4"/>
    <w:rsid w:val="11323DC9"/>
    <w:rsid w:val="11C053D4"/>
    <w:rsid w:val="11E3B63F"/>
    <w:rsid w:val="133C96C0"/>
    <w:rsid w:val="137F86A0"/>
    <w:rsid w:val="13F663EB"/>
    <w:rsid w:val="14920391"/>
    <w:rsid w:val="1498C807"/>
    <w:rsid w:val="149E408F"/>
    <w:rsid w:val="151B5701"/>
    <w:rsid w:val="158504D8"/>
    <w:rsid w:val="15861CC3"/>
    <w:rsid w:val="1597C8AE"/>
    <w:rsid w:val="15CB354F"/>
    <w:rsid w:val="1619BCF7"/>
    <w:rsid w:val="1624654F"/>
    <w:rsid w:val="16B72762"/>
    <w:rsid w:val="17925970"/>
    <w:rsid w:val="1A09D6B1"/>
    <w:rsid w:val="1CFD05CD"/>
    <w:rsid w:val="1E91ED59"/>
    <w:rsid w:val="1FCF06F6"/>
    <w:rsid w:val="20676E1F"/>
    <w:rsid w:val="2081DB9E"/>
    <w:rsid w:val="213A9D77"/>
    <w:rsid w:val="21B6F183"/>
    <w:rsid w:val="21D220E9"/>
    <w:rsid w:val="2559AC75"/>
    <w:rsid w:val="25D060C8"/>
    <w:rsid w:val="25E70183"/>
    <w:rsid w:val="269E9D6D"/>
    <w:rsid w:val="26F0473F"/>
    <w:rsid w:val="27B88392"/>
    <w:rsid w:val="2808C856"/>
    <w:rsid w:val="28468436"/>
    <w:rsid w:val="2A27E801"/>
    <w:rsid w:val="2AB0D8C5"/>
    <w:rsid w:val="2BA37ED6"/>
    <w:rsid w:val="2BC3B862"/>
    <w:rsid w:val="2BCA5C77"/>
    <w:rsid w:val="2D3F4F37"/>
    <w:rsid w:val="2DF35B6A"/>
    <w:rsid w:val="2EBA6F57"/>
    <w:rsid w:val="2F90391C"/>
    <w:rsid w:val="3211BBAF"/>
    <w:rsid w:val="33576D49"/>
    <w:rsid w:val="338F62FE"/>
    <w:rsid w:val="368BE702"/>
    <w:rsid w:val="36C5D1A3"/>
    <w:rsid w:val="37EA4696"/>
    <w:rsid w:val="37F82A2B"/>
    <w:rsid w:val="3827B763"/>
    <w:rsid w:val="383903CB"/>
    <w:rsid w:val="38785213"/>
    <w:rsid w:val="39DA8FAA"/>
    <w:rsid w:val="3AC8D2A1"/>
    <w:rsid w:val="3DB991FF"/>
    <w:rsid w:val="3F2C8302"/>
    <w:rsid w:val="3F9D8B55"/>
    <w:rsid w:val="40E08CF3"/>
    <w:rsid w:val="41D101FA"/>
    <w:rsid w:val="423EC8DD"/>
    <w:rsid w:val="42F2394B"/>
    <w:rsid w:val="4301EB23"/>
    <w:rsid w:val="435F4054"/>
    <w:rsid w:val="43D3917C"/>
    <w:rsid w:val="449DBB84"/>
    <w:rsid w:val="456239FE"/>
    <w:rsid w:val="45A79B91"/>
    <w:rsid w:val="48A55F41"/>
    <w:rsid w:val="4AC1D451"/>
    <w:rsid w:val="4BE28462"/>
    <w:rsid w:val="4D4FA171"/>
    <w:rsid w:val="4E71413D"/>
    <w:rsid w:val="4F582A0F"/>
    <w:rsid w:val="50519165"/>
    <w:rsid w:val="507DE2B2"/>
    <w:rsid w:val="509F80CC"/>
    <w:rsid w:val="50B2ABFC"/>
    <w:rsid w:val="5184E352"/>
    <w:rsid w:val="5219B313"/>
    <w:rsid w:val="5239B5B1"/>
    <w:rsid w:val="52E14C6A"/>
    <w:rsid w:val="5365FA19"/>
    <w:rsid w:val="54C14231"/>
    <w:rsid w:val="55517EB9"/>
    <w:rsid w:val="57025B1C"/>
    <w:rsid w:val="574DCD63"/>
    <w:rsid w:val="58803E62"/>
    <w:rsid w:val="5948F6BA"/>
    <w:rsid w:val="595CF70E"/>
    <w:rsid w:val="59BEF68A"/>
    <w:rsid w:val="5B0BF1AE"/>
    <w:rsid w:val="5C12BFD7"/>
    <w:rsid w:val="5CF2FB64"/>
    <w:rsid w:val="5DABD8EA"/>
    <w:rsid w:val="5DDCD4EF"/>
    <w:rsid w:val="5F22C876"/>
    <w:rsid w:val="5F4262A1"/>
    <w:rsid w:val="5F96C9E2"/>
    <w:rsid w:val="603620A7"/>
    <w:rsid w:val="614198F8"/>
    <w:rsid w:val="616E8CBA"/>
    <w:rsid w:val="625BE913"/>
    <w:rsid w:val="6716E0B7"/>
    <w:rsid w:val="68B2B118"/>
    <w:rsid w:val="69249BAF"/>
    <w:rsid w:val="69338280"/>
    <w:rsid w:val="6AC5F9FD"/>
    <w:rsid w:val="6AE677CF"/>
    <w:rsid w:val="6BD301EF"/>
    <w:rsid w:val="6BD7B542"/>
    <w:rsid w:val="6C9011C9"/>
    <w:rsid w:val="6CBDCFBB"/>
    <w:rsid w:val="6D1443EB"/>
    <w:rsid w:val="6D44F48A"/>
    <w:rsid w:val="6E1A5989"/>
    <w:rsid w:val="6EDA87A2"/>
    <w:rsid w:val="6F1B5F1C"/>
    <w:rsid w:val="714D0E33"/>
    <w:rsid w:val="7340AE06"/>
    <w:rsid w:val="74A41C1E"/>
    <w:rsid w:val="74F16EB6"/>
    <w:rsid w:val="75780BC3"/>
    <w:rsid w:val="75C757B5"/>
    <w:rsid w:val="76A26285"/>
    <w:rsid w:val="77751B1B"/>
    <w:rsid w:val="77E7BF1A"/>
    <w:rsid w:val="789DD256"/>
    <w:rsid w:val="7A56B738"/>
    <w:rsid w:val="7A9EC4E7"/>
    <w:rsid w:val="7B3394A8"/>
    <w:rsid w:val="7B72F05E"/>
    <w:rsid w:val="7C13742E"/>
    <w:rsid w:val="7C25CE9C"/>
    <w:rsid w:val="7DA8AFEC"/>
    <w:rsid w:val="7EEC21A4"/>
    <w:rsid w:val="7EF7B203"/>
    <w:rsid w:val="7FA49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48A7B5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customStyle="1" w:styleId="Default">
    <w:name w:val="Default"/>
    <w:rsid w:val="00024E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68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468A7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468A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5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531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B531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A32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D4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akertilly.d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kertillyinternational.com/web/home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kamila.zitnakova@crestcom.cz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FF66F-A157-442A-8009-5FD2957D1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4D755-B27C-44A7-AE74-9DCC544A0D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97E4DF-B34A-40D8-9B4C-46486313516F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C93AA623-DF1C-419B-AF75-233BA4F65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Vendula Pavlíčková</cp:lastModifiedBy>
  <cp:revision>14</cp:revision>
  <cp:lastPrinted>2016-08-25T19:42:00Z</cp:lastPrinted>
  <dcterms:created xsi:type="dcterms:W3CDTF">2024-07-15T12:33:00Z</dcterms:created>
  <dcterms:modified xsi:type="dcterms:W3CDTF">2025-07-17T11:30:00Z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